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autoSpaceDE/>
        <w:autoSpaceDN/>
        <w:bidi w:val="0"/>
        <w:adjustRightInd/>
        <w:snapToGrid/>
        <w:spacing w:line="640" w:lineRule="exact"/>
        <w:textAlignment w:val="auto"/>
        <w:rPr>
          <w:rFonts w:hint="eastAsia" w:ascii="仿宋_GB2312" w:eastAsia="仿宋_GB2312"/>
          <w:sz w:val="32"/>
          <w:szCs w:val="32"/>
        </w:rPr>
      </w:pPr>
    </w:p>
    <w:p>
      <w:pPr>
        <w:pStyle w:val="13"/>
        <w:rPr>
          <w:rFonts w:hint="eastAsia"/>
        </w:rPr>
      </w:pPr>
    </w:p>
    <w:p>
      <w:pPr>
        <w:keepNext w:val="0"/>
        <w:keepLines w:val="0"/>
        <w:pageBreakBefore w:val="0"/>
        <w:kinsoku/>
        <w:overflowPunct/>
        <w:autoSpaceDE/>
        <w:autoSpaceDN/>
        <w:bidi w:val="0"/>
        <w:adjustRightInd/>
        <w:snapToGrid/>
        <w:spacing w:line="64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辽自营行审发﹝20</w:t>
      </w:r>
      <w:r>
        <w:rPr>
          <w:rFonts w:hint="eastAsia" w:ascii="仿宋_GB2312" w:eastAsia="仿宋_GB2312"/>
          <w:sz w:val="32"/>
          <w:szCs w:val="32"/>
          <w:lang w:val="en-US" w:eastAsia="zh-CN"/>
        </w:rPr>
        <w:t>22</w:t>
      </w:r>
      <w:r>
        <w:rPr>
          <w:rFonts w:hint="eastAsia" w:ascii="仿宋_GB2312" w:eastAsia="仿宋_GB2312"/>
          <w:sz w:val="32"/>
          <w:szCs w:val="32"/>
        </w:rPr>
        <w:t>﹞号</w:t>
      </w:r>
    </w:p>
    <w:p>
      <w:pPr>
        <w:keepNext w:val="0"/>
        <w:keepLines w:val="0"/>
        <w:pageBreakBefore w:val="0"/>
        <w:kinsoku/>
        <w:overflowPunct/>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关于营口晨铭实业有限公司不锈钢容器及塑料系列产品生产项目环境影响报告</w:t>
      </w:r>
      <w:r>
        <w:rPr>
          <w:rFonts w:hint="eastAsia" w:ascii="方正小标宋简体" w:hAnsi="方正小标宋简体" w:eastAsia="方正小标宋简体" w:cs="方正小标宋简体"/>
          <w:sz w:val="44"/>
          <w:szCs w:val="44"/>
          <w:lang w:eastAsia="zh-CN"/>
        </w:rPr>
        <w:t>表</w:t>
      </w:r>
      <w:r>
        <w:rPr>
          <w:rFonts w:hint="eastAsia" w:ascii="方正小标宋简体" w:hAnsi="方正小标宋简体" w:eastAsia="方正小标宋简体" w:cs="方正小标宋简体"/>
          <w:sz w:val="44"/>
          <w:szCs w:val="44"/>
        </w:rPr>
        <w:t>的批复</w:t>
      </w:r>
    </w:p>
    <w:p>
      <w:pPr>
        <w:keepNext w:val="0"/>
        <w:keepLines w:val="0"/>
        <w:pageBreakBefore w:val="0"/>
        <w:kinsoku/>
        <w:overflowPunct/>
        <w:autoSpaceDE/>
        <w:autoSpaceDN/>
        <w:bidi w:val="0"/>
        <w:adjustRightInd/>
        <w:snapToGrid/>
        <w:spacing w:line="640" w:lineRule="exact"/>
        <w:ind w:firstLine="640" w:firstLineChars="200"/>
        <w:jc w:val="center"/>
        <w:textAlignment w:val="auto"/>
        <w:rPr>
          <w:rFonts w:hint="eastAsia" w:ascii="仿宋_GB2312" w:eastAsia="仿宋_GB2312"/>
          <w:sz w:val="32"/>
          <w:szCs w:val="32"/>
        </w:rPr>
      </w:pPr>
    </w:p>
    <w:p>
      <w:pPr>
        <w:keepNext w:val="0"/>
        <w:keepLines w:val="0"/>
        <w:pageBreakBefore w:val="0"/>
        <w:kinsoku/>
        <w:overflowPunct/>
        <w:autoSpaceDE/>
        <w:autoSpaceDN/>
        <w:bidi w:val="0"/>
        <w:adjustRightInd/>
        <w:snapToGrid/>
        <w:spacing w:line="640" w:lineRule="exact"/>
        <w:textAlignment w:val="auto"/>
        <w:rPr>
          <w:rFonts w:hint="eastAsia" w:ascii="仿宋_GB2312" w:eastAsia="仿宋_GB2312"/>
          <w:sz w:val="32"/>
          <w:szCs w:val="32"/>
        </w:rPr>
      </w:pPr>
      <w:r>
        <w:rPr>
          <w:rFonts w:hint="eastAsia" w:ascii="仿宋_GB2312" w:eastAsia="仿宋_GB2312"/>
          <w:sz w:val="32"/>
          <w:szCs w:val="32"/>
        </w:rPr>
        <w:t>营口晨铭实业有限公司：</w:t>
      </w:r>
    </w:p>
    <w:p>
      <w:pPr>
        <w:keepNext w:val="0"/>
        <w:keepLines w:val="0"/>
        <w:pageBreakBefore w:val="0"/>
        <w:kinsoku/>
        <w:overflowPunct/>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你公司报送的《营口晨铭实业有限公司不锈钢容器及塑料系列产品生产项目环境影响报告</w:t>
      </w:r>
      <w:r>
        <w:rPr>
          <w:rFonts w:hint="eastAsia" w:ascii="仿宋_GB2312" w:eastAsia="仿宋_GB2312"/>
          <w:sz w:val="32"/>
          <w:szCs w:val="32"/>
          <w:lang w:eastAsia="zh-CN"/>
        </w:rPr>
        <w:t>表</w:t>
      </w:r>
      <w:r>
        <w:rPr>
          <w:rFonts w:hint="eastAsia" w:ascii="仿宋_GB2312" w:eastAsia="仿宋_GB2312"/>
          <w:sz w:val="32"/>
          <w:szCs w:val="32"/>
        </w:rPr>
        <w:t>》（以下简称“报告</w:t>
      </w:r>
      <w:r>
        <w:rPr>
          <w:rFonts w:hint="eastAsia" w:ascii="仿宋_GB2312" w:eastAsia="仿宋_GB2312"/>
          <w:sz w:val="32"/>
          <w:szCs w:val="32"/>
          <w:lang w:eastAsia="zh-CN"/>
        </w:rPr>
        <w:t>表</w:t>
      </w:r>
      <w:r>
        <w:rPr>
          <w:rFonts w:hint="eastAsia" w:ascii="仿宋_GB2312" w:eastAsia="仿宋_GB2312"/>
          <w:sz w:val="32"/>
          <w:szCs w:val="32"/>
        </w:rPr>
        <w:t>”）收悉，经中国（辽宁）自由贸易试验区营口片区管理委员会行政审批局审查，现就该“报告</w:t>
      </w:r>
      <w:r>
        <w:rPr>
          <w:rFonts w:hint="eastAsia" w:ascii="仿宋_GB2312" w:eastAsia="仿宋_GB2312"/>
          <w:sz w:val="32"/>
          <w:szCs w:val="32"/>
          <w:lang w:eastAsia="zh-CN"/>
        </w:rPr>
        <w:t>表</w:t>
      </w:r>
      <w:r>
        <w:rPr>
          <w:rFonts w:hint="eastAsia" w:ascii="仿宋_GB2312" w:eastAsia="仿宋_GB2312"/>
          <w:sz w:val="32"/>
          <w:szCs w:val="32"/>
        </w:rPr>
        <w:t>”批复如下：</w:t>
      </w:r>
    </w:p>
    <w:p>
      <w:pPr>
        <w:keepNext w:val="0"/>
        <w:keepLines w:val="0"/>
        <w:pageBreakBefore w:val="0"/>
        <w:numPr>
          <w:ilvl w:val="0"/>
          <w:numId w:val="2"/>
        </w:numPr>
        <w:kinsoku/>
        <w:overflowPunct/>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该项目位于中国（辽宁）自由贸易试验区营口片区新建大街80号，总投资</w:t>
      </w:r>
      <w:r>
        <w:rPr>
          <w:rFonts w:hint="eastAsia" w:ascii="仿宋_GB2312" w:eastAsia="仿宋_GB2312"/>
          <w:sz w:val="32"/>
          <w:szCs w:val="32"/>
          <w:lang w:val="en-US" w:eastAsia="zh-CN"/>
        </w:rPr>
        <w:t>20</w:t>
      </w:r>
      <w:r>
        <w:rPr>
          <w:rFonts w:hint="eastAsia" w:ascii="仿宋_GB2312" w:eastAsia="仿宋_GB2312"/>
          <w:sz w:val="32"/>
          <w:szCs w:val="32"/>
        </w:rPr>
        <w:t>00万元</w:t>
      </w:r>
      <w:r>
        <w:rPr>
          <w:rFonts w:hint="eastAsia" w:ascii="仿宋_GB2312" w:eastAsia="仿宋_GB2312"/>
          <w:sz w:val="32"/>
          <w:szCs w:val="32"/>
          <w:lang w:eastAsia="zh-CN"/>
        </w:rPr>
        <w:t>，其中</w:t>
      </w:r>
      <w:r>
        <w:rPr>
          <w:rFonts w:hint="eastAsia" w:ascii="仿宋_GB2312" w:eastAsia="仿宋_GB2312"/>
          <w:sz w:val="32"/>
          <w:szCs w:val="32"/>
          <w:highlight w:val="none"/>
          <w:lang w:eastAsia="zh-CN"/>
        </w:rPr>
        <w:t>环保投资</w:t>
      </w:r>
      <w:r>
        <w:rPr>
          <w:rFonts w:hint="eastAsia" w:ascii="仿宋_GB2312" w:eastAsia="仿宋_GB2312"/>
          <w:sz w:val="32"/>
          <w:szCs w:val="32"/>
          <w:highlight w:val="none"/>
          <w:lang w:val="en-US" w:eastAsia="zh-CN"/>
        </w:rPr>
        <w:t>21万元，租赁营口三征新科技化工有限公司厂区内部分厂房，购置吹塑机、注塑机、破碎机等设备。投产后，预计年产不锈钢容器3万只、吹塑系列产品100万只、注塑系列产品260万只。</w:t>
      </w:r>
    </w:p>
    <w:p>
      <w:pPr>
        <w:keepNext w:val="0"/>
        <w:keepLines w:val="0"/>
        <w:pageBreakBefore w:val="0"/>
        <w:numPr>
          <w:ilvl w:val="0"/>
          <w:numId w:val="2"/>
        </w:numPr>
        <w:kinsoku/>
        <w:overflowPunct/>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在全面落实“报告</w:t>
      </w:r>
      <w:r>
        <w:rPr>
          <w:rFonts w:hint="eastAsia" w:ascii="仿宋_GB2312" w:eastAsia="仿宋_GB2312"/>
          <w:sz w:val="32"/>
          <w:szCs w:val="32"/>
          <w:lang w:eastAsia="zh-CN"/>
        </w:rPr>
        <w:t>表</w:t>
      </w:r>
      <w:r>
        <w:rPr>
          <w:rFonts w:hint="eastAsia" w:ascii="仿宋_GB2312" w:eastAsia="仿宋_GB2312"/>
          <w:sz w:val="32"/>
          <w:szCs w:val="32"/>
        </w:rPr>
        <w:t>”提出的各项污染防治措施的前提下，我局同意你公司按照“报告</w:t>
      </w:r>
      <w:r>
        <w:rPr>
          <w:rFonts w:hint="eastAsia" w:ascii="仿宋_GB2312" w:eastAsia="仿宋_GB2312"/>
          <w:sz w:val="32"/>
          <w:szCs w:val="32"/>
          <w:lang w:eastAsia="zh-CN"/>
        </w:rPr>
        <w:t>表</w:t>
      </w:r>
      <w:r>
        <w:rPr>
          <w:rFonts w:hint="eastAsia" w:ascii="仿宋_GB2312" w:eastAsia="仿宋_GB2312"/>
          <w:sz w:val="32"/>
          <w:szCs w:val="32"/>
        </w:rPr>
        <w:t>”所列建设项目的性质、地点、规模、采用的生产工艺、环境保护措施进行项目建设。</w:t>
      </w:r>
    </w:p>
    <w:p>
      <w:pPr>
        <w:keepNext w:val="0"/>
        <w:keepLines w:val="0"/>
        <w:pageBreakBefore w:val="0"/>
        <w:numPr>
          <w:ilvl w:val="0"/>
          <w:numId w:val="0"/>
        </w:numPr>
        <w:kinsoku/>
        <w:overflowPunct/>
        <w:autoSpaceDE/>
        <w:autoSpaceDN/>
        <w:bidi w:val="0"/>
        <w:adjustRightInd/>
        <w:snapToGrid/>
        <w:spacing w:line="640" w:lineRule="exact"/>
        <w:ind w:firstLine="640" w:firstLineChars="200"/>
        <w:textAlignment w:val="auto"/>
        <w:rPr>
          <w:rFonts w:hint="eastAsia"/>
        </w:rPr>
      </w:pPr>
      <w:r>
        <w:rPr>
          <w:rFonts w:hint="eastAsia" w:ascii="仿宋_GB2312" w:eastAsia="仿宋_GB2312"/>
          <w:sz w:val="32"/>
          <w:szCs w:val="32"/>
          <w:lang w:eastAsia="zh-CN"/>
        </w:rPr>
        <w:t>三、项目设计、建设及运行过程中应重点做好以下工作：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落实大气污染防治措施。本项目不锈钢车间抛光产生的粉尘颗粒物，由负压集气装置收集后，经滤筒除尘器处理后，通过1根15米高排气筒（DA001）排放。污染物排放浓度满足《大气污染物综合排放标准》（GB16297-1996）</w:t>
      </w:r>
      <w:r>
        <w:rPr>
          <w:rFonts w:hint="eastAsia" w:ascii="仿宋_GB2312" w:eastAsia="仿宋_GB2312"/>
          <w:sz w:val="32"/>
          <w:szCs w:val="32"/>
          <w:lang w:val="en-US" w:eastAsia="zh-CN"/>
        </w:rPr>
        <w:t>。本项目在塑料车间(2)和塑料车间(3)共布置2条吹塑生产线产生的非甲烷总烃，经集气罩收集后共同经“二级活性炭吸附装置”净化处理，处理后的废气通过1根 15 米高排气筒（DA002）排放。污染物排放浓度满足《合成树脂工业污染物排放标准》(GB31572-2015)。本项目破碎工序产生的粉尘，经集气罩收集后，进入袋式除尘器处理，通过1根15米高排气筒（DA003）排放。污染物排放浓度满足《合成树脂工业污染物排放标准》(GB31572-2015)。本项目在塑料车间（1）布置</w:t>
      </w:r>
      <w:bookmarkStart w:id="0" w:name="_GoBack"/>
      <w:bookmarkEnd w:id="0"/>
      <w:r>
        <w:rPr>
          <w:rFonts w:hint="eastAsia" w:ascii="仿宋_GB2312" w:eastAsia="仿宋_GB2312"/>
          <w:sz w:val="32"/>
          <w:szCs w:val="32"/>
          <w:lang w:val="en-US" w:eastAsia="zh-CN"/>
        </w:rPr>
        <w:t>2条注塑生产线与1条吹塑生产线产生的废气，经集气罩收集后共同经一套“二级活性炭吸附装置”净化处理，通过1根15米高排气筒（DA003）排放。排放的污染物满足《合成树脂工业污染物排放标准》（GB31572-2015）。本项目无组织污染物排放浓度满足《大气污染物综合排放标准》（GB16297-1996）。</w:t>
      </w:r>
    </w:p>
    <w:p>
      <w:pPr>
        <w:ind w:firstLine="640" w:firstLineChars="200"/>
        <w:rPr>
          <w:rFonts w:hint="eastAsia"/>
          <w:lang w:val="en-US" w:eastAsia="zh-CN"/>
        </w:rPr>
      </w:pPr>
      <w:r>
        <w:rPr>
          <w:rFonts w:hint="eastAsia" w:ascii="仿宋_GB2312" w:eastAsia="仿宋_GB2312"/>
          <w:sz w:val="32"/>
          <w:szCs w:val="32"/>
          <w:lang w:val="en-US" w:eastAsia="zh-CN"/>
        </w:rPr>
        <w:t>2.落实水污染防治措施。本项目不锈钢容器清洗废水依托厂区原有污水处理站处理后，与经厂内化粪池处理后的生活污水汇集排入市政污水管网，由营口市南部城区第三污水处理厂处理后达标排放，污染物排放浓度满足《辽宁省污水综合排放标准》（DB21/1627-2008）中表2排入污水处理厂的水污染物最高允许排放浓度限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落实固体废物处置。</w:t>
      </w:r>
      <w:r>
        <w:rPr>
          <w:rFonts w:hint="eastAsia" w:ascii="仿宋_GB2312" w:eastAsia="仿宋_GB2312"/>
          <w:sz w:val="32"/>
          <w:szCs w:val="32"/>
        </w:rPr>
        <w:t>本项目</w:t>
      </w:r>
      <w:r>
        <w:rPr>
          <w:rFonts w:hint="eastAsia" w:ascii="仿宋_GB2312" w:eastAsia="仿宋_GB2312"/>
          <w:sz w:val="32"/>
          <w:szCs w:val="32"/>
          <w:lang w:eastAsia="zh-CN"/>
        </w:rPr>
        <w:t>一般</w:t>
      </w:r>
      <w:r>
        <w:rPr>
          <w:rFonts w:hint="eastAsia" w:ascii="仿宋_GB2312" w:eastAsia="仿宋_GB2312"/>
          <w:sz w:val="32"/>
          <w:szCs w:val="32"/>
        </w:rPr>
        <w:t>固体废物</w:t>
      </w:r>
      <w:r>
        <w:rPr>
          <w:rFonts w:hint="eastAsia" w:ascii="仿宋_GB2312" w:eastAsia="仿宋_GB2312"/>
          <w:sz w:val="32"/>
          <w:szCs w:val="32"/>
          <w:lang w:eastAsia="zh-CN"/>
        </w:rPr>
        <w:t>主要为金属切屑边角料、焊渣、除尘灰渣、塑料车间边角料、不合格品包装物</w:t>
      </w:r>
      <w:r>
        <w:rPr>
          <w:rFonts w:hint="eastAsia" w:ascii="仿宋_GB2312" w:eastAsia="仿宋_GB2312"/>
          <w:sz w:val="32"/>
          <w:szCs w:val="32"/>
          <w:lang w:val="en-US" w:eastAsia="zh-CN"/>
        </w:rPr>
        <w:t>和职工产生的生活垃圾等。</w:t>
      </w:r>
      <w:r>
        <w:rPr>
          <w:rFonts w:hint="eastAsia" w:ascii="仿宋_GB2312" w:eastAsia="仿宋_GB2312"/>
          <w:sz w:val="32"/>
          <w:szCs w:val="32"/>
          <w:lang w:eastAsia="zh-CN"/>
        </w:rPr>
        <w:t>金属切屑边角料、焊渣及除尘灰渣</w:t>
      </w:r>
      <w:r>
        <w:rPr>
          <w:rFonts w:hint="eastAsia" w:ascii="仿宋_GB2312" w:eastAsia="仿宋_GB2312"/>
          <w:sz w:val="32"/>
          <w:szCs w:val="32"/>
          <w:lang w:val="en-US" w:eastAsia="zh-CN"/>
        </w:rPr>
        <w:t>统一收集后外售处理；不合格产品及边角料收集后回用于生产；生活垃圾由环卫部门清运。废机油、废机油桶、废液压油、废活性炭及含油抹布属于危险废物，暂存于危险废物暂存间，定期委托有资质单位处理。</w:t>
      </w:r>
    </w:p>
    <w:p>
      <w:pPr>
        <w:keepNext w:val="0"/>
        <w:keepLines w:val="0"/>
        <w:pageBreakBefore w:val="0"/>
        <w:kinsoku/>
        <w:overflowPunct/>
        <w:autoSpaceDE/>
        <w:autoSpaceDN/>
        <w:bidi w:val="0"/>
        <w:adjustRightInd/>
        <w:snapToGrid/>
        <w:spacing w:line="64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一般固废满足《一般工业固体废物贮存和填埋污染控制标准》（GB 18599-2020）要求。危险废物暂存满足《危险废物贮存污染控制标准》（GB18597-2001）及其修改单要求。</w:t>
      </w:r>
    </w:p>
    <w:p>
      <w:pPr>
        <w:keepNext w:val="0"/>
        <w:keepLines w:val="0"/>
        <w:pageBreakBefore w:val="0"/>
        <w:numPr>
          <w:ilvl w:val="0"/>
          <w:numId w:val="3"/>
        </w:numPr>
        <w:kinsoku/>
        <w:overflowPunct/>
        <w:autoSpaceDE/>
        <w:autoSpaceDN/>
        <w:bidi w:val="0"/>
        <w:adjustRightInd/>
        <w:snapToGrid/>
        <w:spacing w:line="64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.落实各项噪声治理措施，确保厂界环境噪声达标，本项目</w:t>
      </w:r>
      <w:r>
        <w:rPr>
          <w:rFonts w:hint="eastAsia" w:ascii="仿宋_GB2312" w:eastAsia="仿宋_GB2312"/>
          <w:sz w:val="32"/>
          <w:szCs w:val="32"/>
          <w:lang w:eastAsia="zh-CN"/>
        </w:rPr>
        <w:t>南</w:t>
      </w:r>
      <w:r>
        <w:rPr>
          <w:rFonts w:hint="eastAsia" w:ascii="仿宋_GB2312" w:eastAsia="仿宋_GB2312"/>
          <w:sz w:val="32"/>
          <w:szCs w:val="32"/>
        </w:rPr>
        <w:t>厂界噪声满足《工业企业厂界环境噪声排放标准》（GB12348-2008）中</w:t>
      </w:r>
      <w:r>
        <w:rPr>
          <w:rFonts w:hint="eastAsia" w:ascii="仿宋_GB2312" w:eastAsia="仿宋_GB2312"/>
          <w:sz w:val="32"/>
          <w:szCs w:val="32"/>
          <w:lang w:val="en-US" w:eastAsia="zh-CN"/>
        </w:rPr>
        <w:t>3</w:t>
      </w:r>
      <w:r>
        <w:rPr>
          <w:rFonts w:hint="eastAsia" w:ascii="仿宋_GB2312" w:eastAsia="仿宋_GB2312"/>
          <w:sz w:val="32"/>
          <w:szCs w:val="32"/>
        </w:rPr>
        <w:t>类标准要求</w:t>
      </w:r>
      <w:r>
        <w:rPr>
          <w:rFonts w:hint="eastAsia" w:ascii="仿宋_GB2312" w:eastAsia="仿宋_GB2312"/>
          <w:sz w:val="32"/>
          <w:szCs w:val="32"/>
          <w:lang w:eastAsia="zh-CN"/>
        </w:rPr>
        <w:t>。东、西、北厂界</w:t>
      </w:r>
      <w:r>
        <w:rPr>
          <w:rFonts w:hint="eastAsia" w:ascii="仿宋_GB2312" w:eastAsia="仿宋_GB2312"/>
          <w:sz w:val="32"/>
          <w:szCs w:val="32"/>
        </w:rPr>
        <w:t>噪声满足《工业企业厂界环境噪声排放标准》（GB12348-2008）中</w:t>
      </w:r>
      <w:r>
        <w:rPr>
          <w:rFonts w:hint="eastAsia" w:ascii="仿宋_GB2312" w:eastAsia="仿宋_GB2312"/>
          <w:sz w:val="32"/>
          <w:szCs w:val="32"/>
          <w:lang w:val="en-US" w:eastAsia="zh-CN"/>
        </w:rPr>
        <w:t>4</w:t>
      </w:r>
      <w:r>
        <w:rPr>
          <w:rFonts w:hint="eastAsia" w:ascii="仿宋_GB2312" w:eastAsia="仿宋_GB2312"/>
          <w:sz w:val="32"/>
          <w:szCs w:val="32"/>
        </w:rPr>
        <w:t>类标准要求</w:t>
      </w:r>
      <w:r>
        <w:rPr>
          <w:rFonts w:hint="eastAsia" w:ascii="仿宋_GB2312" w:eastAsia="仿宋_GB2312"/>
          <w:sz w:val="32"/>
          <w:szCs w:val="32"/>
          <w:lang w:val="en-US" w:eastAsia="zh-CN"/>
        </w:rPr>
        <w:t>。</w:t>
      </w:r>
    </w:p>
    <w:p>
      <w:pPr>
        <w:keepNext w:val="0"/>
        <w:keepLines w:val="0"/>
        <w:pageBreakBefore w:val="0"/>
        <w:numPr>
          <w:ilvl w:val="0"/>
          <w:numId w:val="0"/>
        </w:numPr>
        <w:kinsoku/>
        <w:overflowPunct/>
        <w:autoSpaceDE/>
        <w:autoSpaceDN/>
        <w:bidi w:val="0"/>
        <w:adjustRightInd/>
        <w:snapToGrid/>
        <w:spacing w:line="64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.按照相关规定设置规范的污染物排放口，设立相应的标志牌；废气、废水排放口按照监测技术规范要求设置永久性的监测采样口。</w:t>
      </w:r>
    </w:p>
    <w:p>
      <w:pPr>
        <w:keepNext w:val="0"/>
        <w:keepLines w:val="0"/>
        <w:pageBreakBefore w:val="0"/>
        <w:kinsoku/>
        <w:overflowPunct/>
        <w:autoSpaceDE/>
        <w:autoSpaceDN/>
        <w:bidi w:val="0"/>
        <w:adjustRightInd/>
        <w:snapToGrid/>
        <w:spacing w:line="640" w:lineRule="exact"/>
        <w:ind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sz w:val="32"/>
          <w:szCs w:val="32"/>
          <w:lang w:val="en-US" w:eastAsia="zh-CN"/>
        </w:rPr>
        <w:t>6.</w:t>
      </w:r>
      <w:r>
        <w:rPr>
          <w:rFonts w:hint="eastAsia" w:ascii="仿宋_GB2312" w:eastAsia="仿宋_GB2312"/>
          <w:sz w:val="32"/>
          <w:szCs w:val="32"/>
        </w:rPr>
        <w:t>加强环境风险防范和应急管理。你公司应按照相关规定，做好突发环境事故应急预案的编制和备案工作，并做好项目环境应急的风险控制、应急准备、应急处置和事后恢复等工作。</w:t>
      </w:r>
    </w:p>
    <w:p>
      <w:pPr>
        <w:keepNext w:val="0"/>
        <w:keepLines w:val="0"/>
        <w:pageBreakBefore w:val="0"/>
        <w:kinsoku/>
        <w:overflowPunct/>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、建设单位要认真落实本报告</w:t>
      </w:r>
      <w:r>
        <w:rPr>
          <w:rFonts w:hint="eastAsia" w:ascii="仿宋_GB2312" w:eastAsia="仿宋_GB2312"/>
          <w:sz w:val="32"/>
          <w:szCs w:val="32"/>
          <w:lang w:eastAsia="zh-CN"/>
        </w:rPr>
        <w:t>表</w:t>
      </w:r>
      <w:r>
        <w:rPr>
          <w:rFonts w:hint="eastAsia" w:ascii="仿宋_GB2312" w:eastAsia="仿宋_GB2312"/>
          <w:sz w:val="32"/>
          <w:szCs w:val="32"/>
        </w:rPr>
        <w:t>确定的有关环保措施，确保项目实施后污染物达标排放。各项污染防治设施必须与主体工程同时设计、同时施工、同时建成投产。</w:t>
      </w:r>
    </w:p>
    <w:p>
      <w:pPr>
        <w:keepNext w:val="0"/>
        <w:keepLines w:val="0"/>
        <w:pageBreakBefore w:val="0"/>
        <w:kinsoku/>
        <w:overflowPunct/>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本项目生产及经营性质、规模、地点、生产工艺、污染防治措施等发生重大变更时，须另行办理环</w:t>
      </w:r>
      <w:r>
        <w:rPr>
          <w:rFonts w:hint="eastAsia" w:ascii="仿宋_GB2312" w:eastAsia="仿宋_GB2312"/>
          <w:sz w:val="32"/>
          <w:szCs w:val="32"/>
          <w:lang w:eastAsia="zh-CN"/>
        </w:rPr>
        <w:t>评</w:t>
      </w:r>
      <w:r>
        <w:rPr>
          <w:rFonts w:hint="eastAsia" w:ascii="仿宋_GB2312" w:eastAsia="仿宋_GB2312"/>
          <w:sz w:val="32"/>
          <w:szCs w:val="32"/>
        </w:rPr>
        <w:t>审批手续。建设单位在环</w:t>
      </w:r>
      <w:r>
        <w:rPr>
          <w:rFonts w:hint="eastAsia" w:ascii="仿宋_GB2312" w:eastAsia="仿宋_GB2312"/>
          <w:sz w:val="32"/>
          <w:szCs w:val="32"/>
          <w:lang w:eastAsia="zh-CN"/>
        </w:rPr>
        <w:t>评</w:t>
      </w:r>
      <w:r>
        <w:rPr>
          <w:rFonts w:hint="eastAsia" w:ascii="仿宋_GB2312" w:eastAsia="仿宋_GB2312"/>
          <w:sz w:val="32"/>
          <w:szCs w:val="32"/>
        </w:rPr>
        <w:t>申报过程中如有瞒报、虚报等情形，则承担由此产生的一切责任。</w:t>
      </w:r>
    </w:p>
    <w:p>
      <w:pPr>
        <w:keepNext w:val="0"/>
        <w:keepLines w:val="0"/>
        <w:pageBreakBefore w:val="0"/>
        <w:numPr>
          <w:ilvl w:val="0"/>
          <w:numId w:val="0"/>
        </w:numPr>
        <w:kinsoku/>
        <w:overflowPunct/>
        <w:autoSpaceDE/>
        <w:autoSpaceDN/>
        <w:bidi w:val="0"/>
        <w:adjustRightInd/>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五、本项目应按照《固定污染源排污许可分类管理名录》要求，在启动生产设施或者发生实际排污之前依法申请取得排污许可证或者填报排污登记表。未按规定取得排污许可证的或者未填报排污登记表的，不得排放污染物。</w:t>
      </w:r>
    </w:p>
    <w:p>
      <w:pPr>
        <w:rPr>
          <w:rFonts w:hint="eastAsia"/>
        </w:rPr>
      </w:pPr>
    </w:p>
    <w:p>
      <w:pPr>
        <w:keepNext w:val="0"/>
        <w:keepLines w:val="0"/>
        <w:pageBreakBefore w:val="0"/>
        <w:kinsoku/>
        <w:overflowPunct/>
        <w:autoSpaceDE/>
        <w:autoSpaceDN/>
        <w:bidi w:val="0"/>
        <w:adjustRightInd/>
        <w:snapToGrid/>
        <w:spacing w:line="640" w:lineRule="exact"/>
        <w:ind w:firstLine="640" w:firstLineChars="200"/>
        <w:jc w:val="right"/>
        <w:textAlignment w:val="auto"/>
        <w:rPr>
          <w:rFonts w:hint="eastAsia" w:ascii="仿宋_GB2312" w:eastAsia="仿宋_GB2312"/>
          <w:sz w:val="32"/>
          <w:szCs w:val="32"/>
        </w:rPr>
      </w:pPr>
      <w:r>
        <w:rPr>
          <w:rFonts w:hint="eastAsia" w:ascii="仿宋_GB2312" w:eastAsia="仿宋_GB2312"/>
          <w:sz w:val="32"/>
          <w:szCs w:val="32"/>
        </w:rPr>
        <w:t>中国（辽宁）自由贸易试验区营口片区</w:t>
      </w:r>
    </w:p>
    <w:p>
      <w:pPr>
        <w:keepNext w:val="0"/>
        <w:keepLines w:val="0"/>
        <w:pageBreakBefore w:val="0"/>
        <w:kinsoku/>
        <w:overflowPunct/>
        <w:autoSpaceDE/>
        <w:autoSpaceDN/>
        <w:bidi w:val="0"/>
        <w:adjustRightInd/>
        <w:snapToGrid/>
        <w:spacing w:line="640" w:lineRule="exact"/>
        <w:ind w:firstLine="640" w:firstLineChars="200"/>
        <w:jc w:val="center"/>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 管理委员会</w:t>
      </w:r>
      <w:r>
        <w:rPr>
          <w:rFonts w:hint="eastAsia" w:ascii="仿宋_GB2312" w:eastAsia="仿宋_GB2312"/>
          <w:sz w:val="32"/>
          <w:szCs w:val="32"/>
          <w:lang w:eastAsia="zh-CN"/>
        </w:rPr>
        <w:t>行政审批局</w:t>
      </w:r>
    </w:p>
    <w:p>
      <w:pPr>
        <w:keepNext w:val="0"/>
        <w:keepLines w:val="0"/>
        <w:pageBreakBefore w:val="0"/>
        <w:kinsoku/>
        <w:overflowPunct/>
        <w:autoSpaceDE/>
        <w:autoSpaceDN/>
        <w:bidi w:val="0"/>
        <w:adjustRightInd/>
        <w:snapToGrid/>
        <w:spacing w:line="640" w:lineRule="exact"/>
        <w:ind w:firstLine="640" w:firstLineChars="200"/>
        <w:jc w:val="center"/>
        <w:textAlignment w:val="auto"/>
        <w:rPr>
          <w:rFonts w:hint="eastAsia" w:eastAsiaTheme="minorEastAsia"/>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p>
    <w:sectPr>
      <w:pgSz w:w="11906" w:h="16838"/>
      <w:pgMar w:top="2211"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3C004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876065"/>
    <w:multiLevelType w:val="singleLevel"/>
    <w:tmpl w:val="D4876065"/>
    <w:lvl w:ilvl="0" w:tentative="0">
      <w:start w:val="4"/>
      <w:numFmt w:val="decimal"/>
      <w:lvlText w:val="%1"/>
      <w:lvlJc w:val="left"/>
    </w:lvl>
  </w:abstractNum>
  <w:abstractNum w:abstractNumId="1">
    <w:nsid w:val="DF71E157"/>
    <w:multiLevelType w:val="singleLevel"/>
    <w:tmpl w:val="DF71E157"/>
    <w:lvl w:ilvl="0" w:tentative="0">
      <w:start w:val="1"/>
      <w:numFmt w:val="chineseCounting"/>
      <w:suff w:val="nothing"/>
      <w:lvlText w:val="%1、"/>
      <w:lvlJc w:val="left"/>
      <w:rPr>
        <w:rFonts w:hint="eastAsia"/>
      </w:rPr>
    </w:lvl>
  </w:abstractNum>
  <w:abstractNum w:abstractNumId="2">
    <w:nsid w:val="54CF433D"/>
    <w:multiLevelType w:val="singleLevel"/>
    <w:tmpl w:val="54CF433D"/>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A2FBA"/>
    <w:rsid w:val="068603E8"/>
    <w:rsid w:val="097D5901"/>
    <w:rsid w:val="0B30071B"/>
    <w:rsid w:val="0BFF137E"/>
    <w:rsid w:val="0D841F6C"/>
    <w:rsid w:val="0F101F34"/>
    <w:rsid w:val="11B35F32"/>
    <w:rsid w:val="12844190"/>
    <w:rsid w:val="135D71CF"/>
    <w:rsid w:val="16501592"/>
    <w:rsid w:val="17336FFE"/>
    <w:rsid w:val="1ED46825"/>
    <w:rsid w:val="24194C1C"/>
    <w:rsid w:val="285A2312"/>
    <w:rsid w:val="288D45BA"/>
    <w:rsid w:val="2BCD58D6"/>
    <w:rsid w:val="2BEA4B5B"/>
    <w:rsid w:val="2FC07A0F"/>
    <w:rsid w:val="300330BB"/>
    <w:rsid w:val="327D0D40"/>
    <w:rsid w:val="334E602C"/>
    <w:rsid w:val="346E240B"/>
    <w:rsid w:val="37382CA3"/>
    <w:rsid w:val="39E06BB4"/>
    <w:rsid w:val="3C685ECA"/>
    <w:rsid w:val="3C6E154B"/>
    <w:rsid w:val="407B2F89"/>
    <w:rsid w:val="4199387F"/>
    <w:rsid w:val="41FB7140"/>
    <w:rsid w:val="43220E73"/>
    <w:rsid w:val="44D4352B"/>
    <w:rsid w:val="45F41C78"/>
    <w:rsid w:val="46886201"/>
    <w:rsid w:val="47535EE8"/>
    <w:rsid w:val="4A693389"/>
    <w:rsid w:val="4C284066"/>
    <w:rsid w:val="535D1897"/>
    <w:rsid w:val="55681BCB"/>
    <w:rsid w:val="55D169FC"/>
    <w:rsid w:val="57A629CE"/>
    <w:rsid w:val="585A36EA"/>
    <w:rsid w:val="587A38BD"/>
    <w:rsid w:val="590539EC"/>
    <w:rsid w:val="5DD96974"/>
    <w:rsid w:val="5E2B7374"/>
    <w:rsid w:val="62056DEA"/>
    <w:rsid w:val="62415132"/>
    <w:rsid w:val="6273220B"/>
    <w:rsid w:val="64E3290E"/>
    <w:rsid w:val="650405E9"/>
    <w:rsid w:val="67B70D33"/>
    <w:rsid w:val="685C78D5"/>
    <w:rsid w:val="686D28A8"/>
    <w:rsid w:val="68AF335C"/>
    <w:rsid w:val="6A1F2FB8"/>
    <w:rsid w:val="6A387252"/>
    <w:rsid w:val="6AC94C26"/>
    <w:rsid w:val="6DC20494"/>
    <w:rsid w:val="72CD5C52"/>
    <w:rsid w:val="744B5497"/>
    <w:rsid w:val="77301EE3"/>
    <w:rsid w:val="7794739B"/>
    <w:rsid w:val="77B7249A"/>
    <w:rsid w:val="795A69F3"/>
    <w:rsid w:val="7A6978DC"/>
    <w:rsid w:val="7DEC470F"/>
    <w:rsid w:val="7F621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_Style 4"/>
    <w:basedOn w:val="1"/>
    <w:next w:val="1"/>
    <w:qFormat/>
    <w:uiPriority w:val="0"/>
    <w:pPr>
      <w:ind w:firstLine="420" w:firstLineChars="200"/>
    </w:pPr>
    <w:rPr>
      <w:rFonts w:ascii="Calibri" w:hAnsi="Calibri"/>
      <w:sz w:val="32"/>
      <w:szCs w:val="32"/>
    </w:rPr>
  </w:style>
  <w:style w:type="paragraph" w:styleId="3">
    <w:name w:val="Body Text 3"/>
    <w:basedOn w:val="1"/>
    <w:unhideWhenUsed/>
    <w:qFormat/>
    <w:uiPriority w:val="99"/>
    <w:pPr>
      <w:tabs>
        <w:tab w:val="left" w:pos="377"/>
      </w:tabs>
      <w:spacing w:after="120"/>
    </w:pPr>
    <w:rPr>
      <w:sz w:val="16"/>
      <w:szCs w:val="16"/>
    </w:rPr>
  </w:style>
  <w:style w:type="paragraph" w:styleId="4">
    <w:name w:val="Body Text"/>
    <w:basedOn w:val="1"/>
    <w:next w:val="1"/>
    <w:unhideWhenUsed/>
    <w:qFormat/>
    <w:uiPriority w:val="0"/>
    <w:pPr>
      <w:spacing w:after="120" w:line="440" w:lineRule="exact"/>
      <w:ind w:firstLine="600" w:firstLineChars="200"/>
    </w:pPr>
    <w:rPr>
      <w:kern w:val="2"/>
      <w:szCs w:val="20"/>
    </w:rPr>
  </w:style>
  <w:style w:type="paragraph" w:styleId="5">
    <w:name w:val="Body Text Indent"/>
    <w:basedOn w:val="1"/>
    <w:unhideWhenUsed/>
    <w:qFormat/>
    <w:uiPriority w:val="0"/>
    <w:pPr>
      <w:spacing w:after="120"/>
      <w:ind w:left="420" w:leftChars="200"/>
    </w:pPr>
  </w:style>
  <w:style w:type="paragraph" w:styleId="6">
    <w:name w:val="List Bullet 5"/>
    <w:basedOn w:val="1"/>
    <w:qFormat/>
    <w:uiPriority w:val="0"/>
    <w:pPr>
      <w:numPr>
        <w:ilvl w:val="0"/>
        <w:numId w:val="1"/>
      </w:numPr>
    </w:pPr>
  </w:style>
  <w:style w:type="paragraph" w:styleId="7">
    <w:name w:val="Body Text Indent 2"/>
    <w:basedOn w:val="1"/>
    <w:next w:val="1"/>
    <w:qFormat/>
    <w:uiPriority w:val="0"/>
    <w:pPr>
      <w:widowControl w:val="0"/>
      <w:adjustRightInd/>
      <w:snapToGrid/>
      <w:ind w:firstLine="560" w:firstLineChars="200"/>
    </w:pPr>
    <w:rPr>
      <w:rFonts w:eastAsia="Times New Roman"/>
      <w:sz w:val="20"/>
      <w:szCs w:val="20"/>
    </w:rPr>
  </w:style>
  <w:style w:type="paragraph" w:styleId="8">
    <w:name w:val="Body Text First Indent 2"/>
    <w:basedOn w:val="5"/>
    <w:qFormat/>
    <w:uiPriority w:val="0"/>
    <w:pPr>
      <w:tabs>
        <w:tab w:val="left" w:pos="377"/>
      </w:tabs>
      <w:ind w:firstLine="200" w:firstLineChars="200"/>
    </w:pPr>
  </w:style>
  <w:style w:type="table" w:styleId="10">
    <w:name w:val="Table Grid"/>
    <w:basedOn w:val="9"/>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next w:val="8"/>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0正文"/>
    <w:basedOn w:val="5"/>
    <w:next w:val="1"/>
    <w:link w:val="19"/>
    <w:unhideWhenUsed/>
    <w:qFormat/>
    <w:uiPriority w:val="99"/>
    <w:pPr>
      <w:spacing w:after="0" w:line="360" w:lineRule="auto"/>
      <w:ind w:left="0" w:leftChars="0" w:firstLine="720" w:firstLineChars="200"/>
    </w:pPr>
    <w:rPr>
      <w:sz w:val="24"/>
    </w:rPr>
  </w:style>
  <w:style w:type="paragraph" w:customStyle="1" w:styleId="14">
    <w:name w:val="样式 方正仿宋_GBK 三号 行距: 固定值 28 磅"/>
    <w:basedOn w:val="1"/>
    <w:qFormat/>
    <w:uiPriority w:val="0"/>
    <w:pPr>
      <w:spacing w:line="360" w:lineRule="auto"/>
      <w:ind w:firstLine="200" w:firstLineChars="200"/>
      <w:jc w:val="left"/>
    </w:pPr>
    <w:rPr>
      <w:rFonts w:ascii="方正仿宋_GBK" w:hAnsi="方正仿宋_GBK" w:cs="宋体"/>
      <w:sz w:val="28"/>
      <w:szCs w:val="20"/>
    </w:rPr>
  </w:style>
  <w:style w:type="character" w:customStyle="1" w:styleId="15">
    <w:name w:val="font41"/>
    <w:basedOn w:val="11"/>
    <w:qFormat/>
    <w:uiPriority w:val="0"/>
    <w:rPr>
      <w:rFonts w:hint="eastAsia" w:ascii="宋体" w:hAnsi="宋体" w:eastAsia="宋体" w:cs="宋体"/>
      <w:color w:val="000000"/>
      <w:sz w:val="22"/>
      <w:szCs w:val="22"/>
      <w:u w:val="none"/>
    </w:rPr>
  </w:style>
  <w:style w:type="character" w:customStyle="1" w:styleId="16">
    <w:name w:val="font51"/>
    <w:basedOn w:val="11"/>
    <w:qFormat/>
    <w:uiPriority w:val="0"/>
    <w:rPr>
      <w:rFonts w:hint="default" w:ascii="Times New Roman" w:hAnsi="Times New Roman" w:cs="Times New Roman"/>
      <w:color w:val="000000"/>
      <w:sz w:val="22"/>
      <w:szCs w:val="22"/>
      <w:u w:val="none"/>
    </w:rPr>
  </w:style>
  <w:style w:type="character" w:customStyle="1" w:styleId="17">
    <w:name w:val="font101"/>
    <w:basedOn w:val="11"/>
    <w:qFormat/>
    <w:uiPriority w:val="0"/>
    <w:rPr>
      <w:rFonts w:hint="eastAsia" w:ascii="宋体" w:hAnsi="宋体" w:eastAsia="宋体" w:cs="宋体"/>
      <w:color w:val="FF0000"/>
      <w:sz w:val="22"/>
      <w:szCs w:val="22"/>
      <w:u w:val="none"/>
    </w:rPr>
  </w:style>
  <w:style w:type="character" w:customStyle="1" w:styleId="18">
    <w:name w:val="font131"/>
    <w:basedOn w:val="11"/>
    <w:qFormat/>
    <w:uiPriority w:val="0"/>
    <w:rPr>
      <w:rFonts w:hint="default" w:ascii="Times New Roman" w:hAnsi="Times New Roman" w:cs="Times New Roman"/>
      <w:color w:val="FF0000"/>
      <w:sz w:val="22"/>
      <w:szCs w:val="22"/>
      <w:u w:val="none"/>
    </w:rPr>
  </w:style>
  <w:style w:type="character" w:customStyle="1" w:styleId="19">
    <w:name w:val="0正文 Char"/>
    <w:link w:val="13"/>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张效鹏</cp:lastModifiedBy>
  <cp:lastPrinted>2021-06-23T07:13:00Z</cp:lastPrinted>
  <dcterms:modified xsi:type="dcterms:W3CDTF">2022-09-09T01:04:28Z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5899B2407E344C779B621A59F216DA2F</vt:lpwstr>
  </property>
</Properties>
</file>